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90ADC" w14:textId="77777777" w:rsidR="00C921DE" w:rsidRDefault="00E25892">
      <w:pPr>
        <w:pStyle w:val="P68B1DB1-Normale1"/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</w:pPr>
      <w:bookmarkStart w:id="0" w:name="_Hlk97660673"/>
      <w:r>
        <w:tab/>
        <w:t xml:space="preserve">  </w:t>
      </w:r>
    </w:p>
    <w:p w14:paraId="73919DAA" w14:textId="77777777" w:rsidR="00C921DE" w:rsidRDefault="00C921DE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u w:color="000000"/>
          <w:bdr w:val="nil"/>
        </w:rPr>
      </w:pPr>
    </w:p>
    <w:bookmarkEnd w:id="0"/>
    <w:p w14:paraId="5A9323CA" w14:textId="77777777" w:rsidR="00C921DE" w:rsidRPr="00FA43AB" w:rsidRDefault="00E25892">
      <w:pPr>
        <w:ind w:left="2127"/>
        <w:jc w:val="both"/>
        <w:rPr>
          <w:lang w:val="fr-FR"/>
        </w:rPr>
      </w:pPr>
      <w:r w:rsidRPr="00FA43AB">
        <w:rPr>
          <w:lang w:val="fr-FR"/>
        </w:rPr>
        <w:t>Communiqué de presse n. 27/2024</w:t>
      </w:r>
    </w:p>
    <w:p w14:paraId="59D0E56E" w14:textId="77777777" w:rsidR="00C921DE" w:rsidRPr="00FA43AB" w:rsidRDefault="00C921DE">
      <w:pPr>
        <w:ind w:left="2127"/>
        <w:jc w:val="both"/>
        <w:rPr>
          <w:sz w:val="2"/>
          <w:lang w:val="fr-FR"/>
        </w:rPr>
      </w:pPr>
    </w:p>
    <w:p w14:paraId="3DFEA020" w14:textId="77777777" w:rsidR="00C921DE" w:rsidRPr="00FA43AB" w:rsidRDefault="00C921DE">
      <w:pPr>
        <w:ind w:left="2127"/>
        <w:jc w:val="both"/>
        <w:rPr>
          <w:b/>
          <w:sz w:val="10"/>
          <w:lang w:val="fr-FR"/>
        </w:rPr>
      </w:pPr>
    </w:p>
    <w:p w14:paraId="6C51CC6E" w14:textId="77777777" w:rsidR="00C921DE" w:rsidRPr="00FA43AB" w:rsidRDefault="00E25892">
      <w:pPr>
        <w:pStyle w:val="P68B1DB1-Normale2"/>
        <w:ind w:left="2127" w:right="-575"/>
        <w:jc w:val="both"/>
        <w:rPr>
          <w:lang w:val="fr-FR"/>
        </w:rPr>
      </w:pPr>
      <w:r w:rsidRPr="00FA43AB">
        <w:rPr>
          <w:lang w:val="fr-FR"/>
        </w:rPr>
        <w:t>Machines agricoles : la baisse des exportations freine la production italienne</w:t>
      </w:r>
    </w:p>
    <w:p w14:paraId="772EEA36" w14:textId="6C1153DB" w:rsidR="00C921DE" w:rsidRPr="00FA43AB" w:rsidRDefault="00E25892">
      <w:pPr>
        <w:pStyle w:val="P68B1DB1-Normale3"/>
        <w:ind w:left="2127" w:right="-575"/>
        <w:jc w:val="both"/>
        <w:rPr>
          <w:lang w:val="fr-FR"/>
        </w:rPr>
      </w:pPr>
      <w:r w:rsidRPr="00FA43AB">
        <w:rPr>
          <w:lang w:val="fr-FR"/>
        </w:rPr>
        <w:t xml:space="preserve">La valeur totale de la production nationale de technologies pour l’agriculture et le jardinage commence à clôturer l’année avec une baisse de 19,5 % par rapport à la même période de 2023, s'arrêtant à 13,2 milliards d'euros. La baisse due à la contraction de la demande intérieure, mais surtout au ralentissement des marchés </w:t>
      </w:r>
      <w:r w:rsidR="005F32A2" w:rsidRPr="00FA43AB">
        <w:rPr>
          <w:lang w:val="fr-FR"/>
        </w:rPr>
        <w:t>extérieurs</w:t>
      </w:r>
      <w:r w:rsidRPr="00FA43AB">
        <w:rPr>
          <w:lang w:val="fr-FR"/>
        </w:rPr>
        <w:t xml:space="preserve">, qui contribuent de manière significative au chiffre d'affaires des entreprises </w:t>
      </w:r>
      <w:proofErr w:type="spellStart"/>
      <w:r w:rsidRPr="00FA43AB">
        <w:rPr>
          <w:lang w:val="fr-FR"/>
        </w:rPr>
        <w:t>agromécaniques</w:t>
      </w:r>
      <w:proofErr w:type="spellEnd"/>
      <w:r w:rsidRPr="00FA43AB">
        <w:rPr>
          <w:lang w:val="fr-FR"/>
        </w:rPr>
        <w:t xml:space="preserve"> italiennes. FederUnacoma : pour la reprise, il faudra attendre la seconde moitié de 2025.</w:t>
      </w:r>
    </w:p>
    <w:p w14:paraId="3174EC93" w14:textId="77777777" w:rsidR="00C921DE" w:rsidRPr="00FA43AB" w:rsidRDefault="00C921DE">
      <w:pPr>
        <w:ind w:left="2127" w:right="-575"/>
        <w:jc w:val="both"/>
        <w:rPr>
          <w:b/>
          <w:i/>
          <w:sz w:val="23"/>
          <w:lang w:val="fr-FR"/>
        </w:rPr>
      </w:pPr>
    </w:p>
    <w:p w14:paraId="5E9E0D35" w14:textId="4239B25F" w:rsidR="00C921DE" w:rsidRPr="00FA43AB" w:rsidRDefault="00E25892">
      <w:pPr>
        <w:pStyle w:val="P68B1DB1-Normale4"/>
        <w:ind w:left="2127" w:right="-575"/>
        <w:jc w:val="both"/>
        <w:rPr>
          <w:lang w:val="fr-FR"/>
        </w:rPr>
      </w:pPr>
      <w:r w:rsidRPr="00FA43AB">
        <w:rPr>
          <w:lang w:val="fr-FR"/>
        </w:rPr>
        <w:t>Le climat d'incertitude qui règne sur les marchés étrangers et sur le marché national se reflète sur l'évolution de la production italienne de technologies pour l’agriculture, qui commence à clôturer l'année 2024 avec une baisse significative par rapport à 2023. Les prévisions de</w:t>
      </w:r>
      <w:r w:rsidR="00FA43AB">
        <w:rPr>
          <w:lang w:val="fr-FR"/>
        </w:rPr>
        <w:t xml:space="preserve"> </w:t>
      </w:r>
      <w:r w:rsidR="00FA43AB" w:rsidRPr="00FA43AB">
        <w:rPr>
          <w:lang w:val="fr-FR"/>
        </w:rPr>
        <w:t>FederUnacoma</w:t>
      </w:r>
      <w:r w:rsidR="00FA43AB">
        <w:rPr>
          <w:lang w:val="fr-FR"/>
        </w:rPr>
        <w:t>,</w:t>
      </w:r>
      <w:r w:rsidR="00FA43AB" w:rsidRPr="00FA43AB">
        <w:rPr>
          <w:lang w:val="fr-FR"/>
        </w:rPr>
        <w:t xml:space="preserve"> </w:t>
      </w:r>
      <w:r w:rsidRPr="00FA43AB">
        <w:rPr>
          <w:lang w:val="fr-FR"/>
        </w:rPr>
        <w:t>l'association des constructeurs</w:t>
      </w:r>
      <w:r w:rsidR="00FA43AB">
        <w:rPr>
          <w:lang w:val="fr-FR"/>
        </w:rPr>
        <w:t>,</w:t>
      </w:r>
      <w:r w:rsidRPr="00FA43AB">
        <w:rPr>
          <w:lang w:val="fr-FR"/>
        </w:rPr>
        <w:t xml:space="preserve"> indiquent une baisse de 19,5 %, pour une valeur totale de 13,2 milliards d'euros, soit 3,2 milliards de moins que l'année précédente. Les données relatives à la production de véhicules mécaniques pour l’agriculture - comme l'a expliqué FederUnacoma cet après-midi à Bologne lors de la conférence de presse de présentation d'EIMA International - sont obtenues par la somme des différents types de machines. Les tracteurs pèsent un peu plus de 2 milliards d'euros (-25 % par rapport à 2023), les tracteurs incomplets et les pièces de rechange pèsent environ 1 milliard (-28,6 %), les machines d'exploitation et les équipements représentent une valeur de 6,2 milliards (-16,5 %), les composants</w:t>
      </w:r>
      <w:r w:rsidR="00FA43AB">
        <w:rPr>
          <w:lang w:val="fr-FR"/>
        </w:rPr>
        <w:t xml:space="preserve"> une valeur</w:t>
      </w:r>
      <w:r w:rsidRPr="00FA43AB">
        <w:rPr>
          <w:lang w:val="fr-FR"/>
        </w:rPr>
        <w:t xml:space="preserve"> de 3,3 milliards (-17,5 %), tandis que les machines pour le jardinage et l'entretien des espaces verts contribuent pour 700 millions, avec une baisse de 22,2 % par rapport à l'année précédente .</w:t>
      </w:r>
    </w:p>
    <w:p w14:paraId="706D866A" w14:textId="52473C06" w:rsidR="00C921DE" w:rsidRPr="00FA43AB" w:rsidRDefault="00E25892">
      <w:pPr>
        <w:pStyle w:val="P68B1DB1-Normale4"/>
        <w:ind w:left="2127" w:right="-575"/>
        <w:jc w:val="both"/>
        <w:rPr>
          <w:lang w:val="fr-FR"/>
        </w:rPr>
      </w:pPr>
      <w:r w:rsidRPr="00FA43AB">
        <w:rPr>
          <w:lang w:val="fr-FR"/>
        </w:rPr>
        <w:t xml:space="preserve">La baisse de la demande intérieure a pesé sur la contraction du chiffre d'affaires au premier semestre. Le marché italien des technologies pour le secteur primaire - qui en 2023 avait clôturé avec un passif de 12,9 % pour les tracteurs et avec des chutes également pour les autres types de véhicules - enregistre des baisses encore plus marquées au cours des neuf mois de janvier à septembre,  -15,6 % pour les immatriculations de tracteurs, -31,9 % pour les immatriculations de moissonneuses-batteuses, -18,7 % pour les tracteurs avec plate-forme de chargement, -18 % pour les élévateurs télescopiques et -2,8 % pour les remorques. Les données relatives aux ventes de machines et d'équipements de jardinage, élaborées par </w:t>
      </w:r>
      <w:proofErr w:type="spellStart"/>
      <w:r w:rsidRPr="00FA43AB">
        <w:rPr>
          <w:lang w:val="fr-FR"/>
        </w:rPr>
        <w:t>Comagarden</w:t>
      </w:r>
      <w:proofErr w:type="spellEnd"/>
      <w:r w:rsidRPr="00FA43AB">
        <w:rPr>
          <w:lang w:val="fr-FR"/>
        </w:rPr>
        <w:t xml:space="preserve"> sur la base du groupe de relevé Morgan et se rapportant au mois de septembre, sont légèrement plus positives (+1,2 %), mais ne compensent pas le passif important enregistré par le secteur du jardinage au cours de la période 2022-2023.</w:t>
      </w:r>
    </w:p>
    <w:p w14:paraId="5D329ADD" w14:textId="77777777" w:rsidR="00C620DC" w:rsidRDefault="00E25892">
      <w:pPr>
        <w:pStyle w:val="P68B1DB1-Normale4"/>
        <w:ind w:left="2127" w:right="-575"/>
        <w:jc w:val="both"/>
        <w:rPr>
          <w:lang w:val="fr-FR"/>
        </w:rPr>
      </w:pPr>
      <w:r w:rsidRPr="00FA43AB">
        <w:rPr>
          <w:lang w:val="fr-FR"/>
        </w:rPr>
        <w:t xml:space="preserve">Mais c'est surtout la contraction de la demande </w:t>
      </w:r>
      <w:r w:rsidR="005F32A2" w:rsidRPr="00FA43AB">
        <w:rPr>
          <w:lang w:val="fr-FR"/>
        </w:rPr>
        <w:t>extérieure</w:t>
      </w:r>
      <w:r w:rsidRPr="00FA43AB">
        <w:rPr>
          <w:lang w:val="fr-FR"/>
        </w:rPr>
        <w:t xml:space="preserve"> qui a pesé sur la baisse de la production nationale de machines agricoles, compte tenu de la forte propension des entreprises italiennes à exporter sur les marchés mondiaux. Au cours des six premiers mois de l'année - comme cela été expliqué lors de la conférence de presse - les exportations de tracteurs, de pièces de tracteurs et d'autres machines agricoles (à l'exclusion des données sur les composants et le jardinage) ont diminué au total de 9 %, pour une valeur de 3 milliards et 408 millions d'euros, tout en maintenant un solde actif de la balance commerciale de 2,2 milliards. Les États-Unis, la France et l'Allemagne ont été confirmés, dans cet ordre, comme les principaux pays de destination des technologies agricoles « made in Italy », suivis par la Turquie qui se place </w:t>
      </w:r>
      <w:r w:rsidR="004F54A7">
        <w:rPr>
          <w:lang w:val="fr-FR"/>
        </w:rPr>
        <w:t>au quatrième rang</w:t>
      </w:r>
      <w:r w:rsidRPr="00FA43AB">
        <w:rPr>
          <w:lang w:val="fr-FR"/>
        </w:rPr>
        <w:t xml:space="preserve">. Aucune amélioration n'est attendue dans le bilan de fin d'année, comme le montre également le suivi que la Fédération des constructeurs réalise systématiquement auprès de ses entreprises associées. « Au troisième trimestre de cette année - a observé </w:t>
      </w:r>
      <w:proofErr w:type="spellStart"/>
      <w:r w:rsidRPr="00FA43AB">
        <w:rPr>
          <w:lang w:val="fr-FR"/>
        </w:rPr>
        <w:t>Mariateresa</w:t>
      </w:r>
      <w:proofErr w:type="spellEnd"/>
      <w:r w:rsidRPr="00FA43AB">
        <w:rPr>
          <w:lang w:val="fr-FR"/>
        </w:rPr>
        <w:t xml:space="preserve"> </w:t>
      </w:r>
      <w:proofErr w:type="spellStart"/>
      <w:r w:rsidRPr="00FA43AB">
        <w:rPr>
          <w:lang w:val="fr-FR"/>
        </w:rPr>
        <w:t>Maschio</w:t>
      </w:r>
      <w:proofErr w:type="spellEnd"/>
      <w:r w:rsidRPr="00FA43AB">
        <w:rPr>
          <w:lang w:val="fr-FR"/>
        </w:rPr>
        <w:t xml:space="preserve">, présidente de FederUnacoma  - 70 % des industries du secteur ont signalé une évolution du chiffre d'affaires pire qu'à la même période l'an dernier, avec une prévalence d'entreprises indiquant une baisse comprise entre 11 et 20 %. Selon 60 % des constructeurs recensés, un renversement de tendance pourrait se concrétiser à partir du second semestre </w:t>
      </w:r>
      <w:r w:rsidR="006E4ED4">
        <w:rPr>
          <w:lang w:val="fr-FR"/>
        </w:rPr>
        <w:t xml:space="preserve">de </w:t>
      </w:r>
      <w:r w:rsidRPr="00FA43AB">
        <w:rPr>
          <w:lang w:val="fr-FR"/>
        </w:rPr>
        <w:t xml:space="preserve">2025 ». </w:t>
      </w:r>
    </w:p>
    <w:p w14:paraId="3FBBF45C" w14:textId="77777777" w:rsidR="00C620DC" w:rsidRDefault="00C620DC">
      <w:pPr>
        <w:pStyle w:val="P68B1DB1-Normale4"/>
        <w:ind w:left="2127" w:right="-575"/>
        <w:jc w:val="both"/>
        <w:rPr>
          <w:lang w:val="fr-FR"/>
        </w:rPr>
      </w:pPr>
    </w:p>
    <w:p w14:paraId="438F9149" w14:textId="77777777" w:rsidR="00C620DC" w:rsidRDefault="00C620DC">
      <w:pPr>
        <w:pStyle w:val="P68B1DB1-Normale4"/>
        <w:ind w:left="2127" w:right="-575"/>
        <w:jc w:val="both"/>
        <w:rPr>
          <w:lang w:val="fr-FR"/>
        </w:rPr>
      </w:pPr>
    </w:p>
    <w:p w14:paraId="332A99F9" w14:textId="77777777" w:rsidR="00C620DC" w:rsidRDefault="00C620DC">
      <w:pPr>
        <w:pStyle w:val="P68B1DB1-Normale4"/>
        <w:ind w:left="2127" w:right="-575"/>
        <w:jc w:val="both"/>
        <w:rPr>
          <w:lang w:val="fr-FR"/>
        </w:rPr>
      </w:pPr>
    </w:p>
    <w:p w14:paraId="362B0A51" w14:textId="77777777" w:rsidR="00C620DC" w:rsidRDefault="00C620DC">
      <w:pPr>
        <w:pStyle w:val="P68B1DB1-Normale4"/>
        <w:ind w:left="2127" w:right="-575"/>
        <w:jc w:val="both"/>
        <w:rPr>
          <w:lang w:val="fr-FR"/>
        </w:rPr>
      </w:pPr>
    </w:p>
    <w:p w14:paraId="695F2DFB" w14:textId="77777777" w:rsidR="00C620DC" w:rsidRDefault="00C620DC">
      <w:pPr>
        <w:pStyle w:val="P68B1DB1-Normale4"/>
        <w:ind w:left="2127" w:right="-575"/>
        <w:jc w:val="both"/>
        <w:rPr>
          <w:lang w:val="fr-FR"/>
        </w:rPr>
      </w:pPr>
    </w:p>
    <w:p w14:paraId="11221843" w14:textId="77777777" w:rsidR="00C620DC" w:rsidRDefault="00C620DC">
      <w:pPr>
        <w:pStyle w:val="P68B1DB1-Normale4"/>
        <w:ind w:left="2127" w:right="-575"/>
        <w:jc w:val="both"/>
        <w:rPr>
          <w:lang w:val="fr-FR"/>
        </w:rPr>
      </w:pPr>
    </w:p>
    <w:p w14:paraId="34CA7A62" w14:textId="0373EB9A" w:rsidR="00C921DE" w:rsidRPr="00FA43AB" w:rsidRDefault="00E25892">
      <w:pPr>
        <w:pStyle w:val="P68B1DB1-Normale4"/>
        <w:ind w:left="2127" w:right="-575"/>
        <w:jc w:val="both"/>
        <w:rPr>
          <w:lang w:val="fr-FR"/>
        </w:rPr>
      </w:pPr>
      <w:r w:rsidRPr="00FA43AB">
        <w:rPr>
          <w:lang w:val="fr-FR"/>
        </w:rPr>
        <w:t>« La reprise pourrait être favorisée par une stabilisation du cadre économique global, mais – a déclaré la présidente de FederUnacoma en conclusion – en ce qui concerne la demande intérieure, cela dépend beaucoup de la mise en place du système d'incitation à l’achat de machines agricoles de dernière génération ».</w:t>
      </w:r>
    </w:p>
    <w:p w14:paraId="56C5CE67" w14:textId="77777777" w:rsidR="00C921DE" w:rsidRPr="00FA43AB" w:rsidRDefault="00C921DE">
      <w:pPr>
        <w:ind w:left="2127" w:right="-575"/>
        <w:jc w:val="both"/>
        <w:rPr>
          <w:sz w:val="10"/>
          <w:lang w:val="fr-FR"/>
        </w:rPr>
      </w:pPr>
    </w:p>
    <w:p w14:paraId="6EF0B5AC" w14:textId="77777777" w:rsidR="00C921DE" w:rsidRPr="00FA43AB" w:rsidRDefault="00C921DE">
      <w:pPr>
        <w:ind w:left="2127" w:right="-150"/>
        <w:jc w:val="both"/>
        <w:rPr>
          <w:sz w:val="23"/>
          <w:lang w:val="fr-FR"/>
        </w:rPr>
      </w:pPr>
    </w:p>
    <w:p w14:paraId="23768298" w14:textId="77777777" w:rsidR="00C921DE" w:rsidRPr="00FA43AB" w:rsidRDefault="00E25892">
      <w:pPr>
        <w:pStyle w:val="P68B1DB1-Normale3"/>
        <w:ind w:left="2127" w:right="-150"/>
        <w:jc w:val="both"/>
        <w:rPr>
          <w:lang w:val="fr-FR"/>
        </w:rPr>
      </w:pPr>
      <w:r w:rsidRPr="00FA43AB">
        <w:rPr>
          <w:lang w:val="fr-FR"/>
        </w:rPr>
        <w:t>Bologne, le 5 novembre 2024</w:t>
      </w:r>
    </w:p>
    <w:p w14:paraId="372C8417" w14:textId="26CF64FA" w:rsidR="00C921DE" w:rsidRDefault="00C921D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127"/>
        </w:tabs>
        <w:ind w:right="-150"/>
        <w:jc w:val="both"/>
        <w:rPr>
          <w:rFonts w:eastAsia="Arial Unicode MS"/>
          <w:b/>
          <w:i/>
          <w:color w:val="000000"/>
          <w:sz w:val="23"/>
          <w:u w:color="000000"/>
          <w:bdr w:val="nil"/>
        </w:rPr>
      </w:pPr>
    </w:p>
    <w:sectPr w:rsidR="00C921DE">
      <w:headerReference w:type="default" r:id="rId6"/>
      <w:pgSz w:w="11906" w:h="16838" w:code="9"/>
      <w:pgMar w:top="1418" w:right="1134" w:bottom="14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43BDF" w14:textId="77777777" w:rsidR="00183F2A" w:rsidRDefault="00183F2A">
      <w:r>
        <w:separator/>
      </w:r>
    </w:p>
  </w:endnote>
  <w:endnote w:type="continuationSeparator" w:id="0">
    <w:p w14:paraId="6D50C92F" w14:textId="77777777" w:rsidR="00183F2A" w:rsidRDefault="0018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5FDCC" w14:textId="77777777" w:rsidR="00183F2A" w:rsidRDefault="00183F2A">
      <w:r>
        <w:separator/>
      </w:r>
    </w:p>
  </w:footnote>
  <w:footnote w:type="continuationSeparator" w:id="0">
    <w:p w14:paraId="5CF9418E" w14:textId="77777777" w:rsidR="00183F2A" w:rsidRDefault="00183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3EDED" w14:textId="77777777" w:rsidR="00C921DE" w:rsidRDefault="00E25892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AACF03" wp14:editId="7AD4A28B">
          <wp:simplePos x="0" y="0"/>
          <wp:positionH relativeFrom="column">
            <wp:posOffset>-681990</wp:posOffset>
          </wp:positionH>
          <wp:positionV relativeFrom="paragraph">
            <wp:posOffset>-419100</wp:posOffset>
          </wp:positionV>
          <wp:extent cx="7524750" cy="10648482"/>
          <wp:effectExtent l="0" t="0" r="0" b="0"/>
          <wp:wrapNone/>
          <wp:docPr id="1420895800" name="Immagine 1420895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221" cy="10660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A2"/>
    <w:rsid w:val="00072B4D"/>
    <w:rsid w:val="000867E4"/>
    <w:rsid w:val="000C42E5"/>
    <w:rsid w:val="00132C83"/>
    <w:rsid w:val="00183F2A"/>
    <w:rsid w:val="001E4BD1"/>
    <w:rsid w:val="001F54A2"/>
    <w:rsid w:val="002C505B"/>
    <w:rsid w:val="002D6176"/>
    <w:rsid w:val="0038239F"/>
    <w:rsid w:val="00392F74"/>
    <w:rsid w:val="003B7256"/>
    <w:rsid w:val="004043E1"/>
    <w:rsid w:val="00455C8D"/>
    <w:rsid w:val="004F54A7"/>
    <w:rsid w:val="005F32A2"/>
    <w:rsid w:val="006E2603"/>
    <w:rsid w:val="006E4ED4"/>
    <w:rsid w:val="00725234"/>
    <w:rsid w:val="00774B84"/>
    <w:rsid w:val="008A4ED0"/>
    <w:rsid w:val="00915417"/>
    <w:rsid w:val="00A676B9"/>
    <w:rsid w:val="00AE5CFA"/>
    <w:rsid w:val="00B06FF2"/>
    <w:rsid w:val="00B537C4"/>
    <w:rsid w:val="00B83EF9"/>
    <w:rsid w:val="00BD3494"/>
    <w:rsid w:val="00C620DC"/>
    <w:rsid w:val="00C921DE"/>
    <w:rsid w:val="00CF1420"/>
    <w:rsid w:val="00CF5BC8"/>
    <w:rsid w:val="00D65F12"/>
    <w:rsid w:val="00DC159E"/>
    <w:rsid w:val="00DD36A6"/>
    <w:rsid w:val="00E25892"/>
    <w:rsid w:val="00E62EF9"/>
    <w:rsid w:val="00FA43AB"/>
    <w:rsid w:val="00FE6F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C7AE2C"/>
  <w14:defaultImageDpi w14:val="300"/>
  <w15:chartTrackingRefBased/>
  <w15:docId w15:val="{9FEB596A-0C57-4148-A0D9-54D19BE4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ind w:hanging="567"/>
      <w:outlineLvl w:val="0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ind w:left="-426" w:right="-427" w:hanging="141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</w:style>
  <w:style w:type="paragraph" w:customStyle="1" w:styleId="Terminedefinizione">
    <w:name w:val="Termine definizione"/>
    <w:basedOn w:val="Normale"/>
    <w:next w:val="Normale"/>
    <w:rPr>
      <w:snapToGrid w:val="0"/>
    </w:rPr>
  </w:style>
  <w:style w:type="paragraph" w:styleId="Rientrocorpodeltesto">
    <w:name w:val="Body Text Indent"/>
    <w:basedOn w:val="Normale"/>
    <w:pPr>
      <w:ind w:left="-567"/>
    </w:pPr>
    <w:rPr>
      <w:sz w:val="28"/>
    </w:rPr>
  </w:style>
  <w:style w:type="paragraph" w:customStyle="1" w:styleId="P68B1DB1-Normale1">
    <w:name w:val="P68B1DB1-Normale1"/>
    <w:basedOn w:val="Normale"/>
    <w:rPr>
      <w:rFonts w:eastAsia="Arial Unicode MS" w:cs="Arial Unicode MS"/>
      <w:color w:val="000000"/>
      <w:sz w:val="20"/>
      <w:u w:color="000000"/>
      <w:bdr w:val="nil"/>
    </w:rPr>
  </w:style>
  <w:style w:type="paragraph" w:customStyle="1" w:styleId="P68B1DB1-Normale2">
    <w:name w:val="P68B1DB1-Normale2"/>
    <w:basedOn w:val="Normale"/>
    <w:rPr>
      <w:b/>
      <w:sz w:val="27"/>
    </w:rPr>
  </w:style>
  <w:style w:type="paragraph" w:customStyle="1" w:styleId="P68B1DB1-Normale3">
    <w:name w:val="P68B1DB1-Normale3"/>
    <w:basedOn w:val="Normale"/>
    <w:rPr>
      <w:b/>
      <w:i/>
      <w:sz w:val="23"/>
    </w:rPr>
  </w:style>
  <w:style w:type="paragraph" w:customStyle="1" w:styleId="P68B1DB1-Normale4">
    <w:name w:val="P68B1DB1-Normale4"/>
    <w:basedOn w:val="Normal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Links>
    <vt:vector size="6" baseType="variant">
      <vt:variant>
        <vt:i4>8257539</vt:i4>
      </vt:variant>
      <vt:variant>
        <vt:i4>-1</vt:i4>
      </vt:variant>
      <vt:variant>
        <vt:i4>2054</vt:i4>
      </vt:variant>
      <vt:variant>
        <vt:i4>1</vt:i4>
      </vt:variant>
      <vt:variant>
        <vt:lpwstr>CARTA INT EIMA ing 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Errepi srl</dc:creator>
  <cp:keywords/>
  <dc:description/>
  <cp:lastModifiedBy>Mondo Macchina</cp:lastModifiedBy>
  <cp:revision>6</cp:revision>
  <cp:lastPrinted>2024-11-04T18:13:00Z</cp:lastPrinted>
  <dcterms:created xsi:type="dcterms:W3CDTF">2024-11-04T18:45:00Z</dcterms:created>
  <dcterms:modified xsi:type="dcterms:W3CDTF">2024-11-05T10:19:00Z</dcterms:modified>
</cp:coreProperties>
</file>